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4" w:rsidRPr="00B560C1" w:rsidRDefault="00BB3A24" w:rsidP="00D872DE">
      <w:pPr>
        <w:spacing w:line="540" w:lineRule="exact"/>
        <w:jc w:val="center"/>
        <w:rPr>
          <w:rFonts w:ascii="方正小标宋简体" w:eastAsia="方正小标宋简体" w:hAnsi="微软雅黑"/>
          <w:color w:val="1D1D1D"/>
          <w:sz w:val="32"/>
          <w:szCs w:val="32"/>
          <w:shd w:val="clear" w:color="auto" w:fill="FFFFFF"/>
        </w:rPr>
      </w:pPr>
      <w:r w:rsidRPr="00B560C1">
        <w:rPr>
          <w:rFonts w:ascii="方正小标宋简体" w:eastAsia="方正小标宋简体" w:hAnsi="微软雅黑" w:hint="eastAsia"/>
          <w:color w:val="1D1D1D"/>
          <w:sz w:val="32"/>
          <w:szCs w:val="32"/>
          <w:shd w:val="clear" w:color="auto" w:fill="FFFFFF"/>
        </w:rPr>
        <w:t>石棉县人民医院</w:t>
      </w:r>
    </w:p>
    <w:p w:rsidR="00BB3A24" w:rsidRPr="00E0640C" w:rsidRDefault="000E7EE0" w:rsidP="00E0640C">
      <w:pPr>
        <w:spacing w:line="540" w:lineRule="exact"/>
        <w:jc w:val="center"/>
        <w:rPr>
          <w:rFonts w:ascii="方正小标宋简体" w:eastAsia="方正小标宋简体" w:hAnsi="微软雅黑"/>
          <w:color w:val="1D1D1D"/>
          <w:sz w:val="32"/>
          <w:szCs w:val="32"/>
          <w:shd w:val="clear" w:color="auto" w:fill="FFFFFF"/>
        </w:rPr>
      </w:pPr>
      <w:r w:rsidRPr="00B560C1">
        <w:rPr>
          <w:rFonts w:ascii="方正小标宋简体" w:eastAsia="方正小标宋简体" w:hAnsi="微软雅黑" w:hint="eastAsia"/>
          <w:color w:val="1D1D1D"/>
          <w:sz w:val="32"/>
          <w:szCs w:val="32"/>
          <w:shd w:val="clear" w:color="auto" w:fill="FFFFFF"/>
        </w:rPr>
        <w:t>10Kv高压电气设备预防性试验询价</w:t>
      </w:r>
      <w:r w:rsidR="00BB3A24" w:rsidRPr="00B560C1">
        <w:rPr>
          <w:rFonts w:ascii="方正小标宋简体" w:eastAsia="方正小标宋简体" w:hAnsi="微软雅黑" w:hint="eastAsia"/>
          <w:color w:val="1D1D1D"/>
          <w:sz w:val="32"/>
          <w:szCs w:val="32"/>
          <w:shd w:val="clear" w:color="auto" w:fill="FFFFFF"/>
        </w:rPr>
        <w:t>公告</w:t>
      </w:r>
    </w:p>
    <w:p w:rsidR="00BB3A24" w:rsidRDefault="00BB3A24">
      <w:pPr>
        <w:rPr>
          <w:rFonts w:ascii="微软雅黑" w:eastAsia="微软雅黑" w:hAnsi="微软雅黑"/>
          <w:color w:val="1D1D1D"/>
          <w:sz w:val="23"/>
          <w:szCs w:val="23"/>
          <w:shd w:val="clear" w:color="auto" w:fill="FFFFFF"/>
        </w:rPr>
      </w:pPr>
    </w:p>
    <w:p w:rsidR="00BB3A24" w:rsidRPr="00B560C1" w:rsidRDefault="00BB3A24" w:rsidP="00B560C1">
      <w:pPr>
        <w:ind w:firstLineChars="200" w:firstLine="420"/>
      </w:pPr>
      <w:r w:rsidRPr="00B560C1">
        <w:rPr>
          <w:rFonts w:hint="eastAsia"/>
        </w:rPr>
        <w:t>项目名称：</w:t>
      </w:r>
      <w:r w:rsidR="000E7EE0" w:rsidRPr="00B560C1">
        <w:rPr>
          <w:rFonts w:hint="eastAsia"/>
        </w:rPr>
        <w:t>10Kv</w:t>
      </w:r>
      <w:r w:rsidR="000E7EE0" w:rsidRPr="00B560C1">
        <w:rPr>
          <w:rFonts w:hint="eastAsia"/>
        </w:rPr>
        <w:t>高压电气设备预防性试验询价项目</w:t>
      </w:r>
    </w:p>
    <w:p w:rsidR="00BB3A24" w:rsidRPr="00B560C1" w:rsidRDefault="00BB3A24" w:rsidP="00B560C1">
      <w:pPr>
        <w:ind w:firstLineChars="200" w:firstLine="420"/>
      </w:pPr>
      <w:r w:rsidRPr="00B560C1">
        <w:rPr>
          <w:rFonts w:hint="eastAsia"/>
        </w:rPr>
        <w:t>公告类型：询价公告</w:t>
      </w:r>
    </w:p>
    <w:p w:rsidR="00BB3A24" w:rsidRPr="00B560C1" w:rsidRDefault="00BB3A24" w:rsidP="00B560C1">
      <w:pPr>
        <w:ind w:firstLineChars="200" w:firstLine="420"/>
      </w:pPr>
      <w:r w:rsidRPr="00B560C1">
        <w:rPr>
          <w:rFonts w:hint="eastAsia"/>
        </w:rPr>
        <w:t>采购人：石棉县人民医院</w:t>
      </w:r>
    </w:p>
    <w:p w:rsidR="00D872DE" w:rsidRPr="00B560C1" w:rsidRDefault="00BB3A24" w:rsidP="00B560C1">
      <w:pPr>
        <w:ind w:firstLineChars="200" w:firstLine="420"/>
      </w:pPr>
      <w:r w:rsidRPr="00B560C1">
        <w:rPr>
          <w:rFonts w:hint="eastAsia"/>
        </w:rPr>
        <w:t>各潜在供应商</w:t>
      </w:r>
      <w:r w:rsidR="00D872DE" w:rsidRPr="00B560C1">
        <w:rPr>
          <w:rFonts w:hint="eastAsia"/>
        </w:rPr>
        <w:t>：</w:t>
      </w:r>
    </w:p>
    <w:p w:rsidR="000E7EE0" w:rsidRPr="000E7EE0" w:rsidRDefault="000E7EE0" w:rsidP="000E7EE0">
      <w:pPr>
        <w:ind w:firstLineChars="202" w:firstLine="424"/>
      </w:pPr>
      <w:r>
        <w:rPr>
          <w:rFonts w:hint="eastAsia"/>
        </w:rPr>
        <w:t>我院</w:t>
      </w:r>
      <w:r>
        <w:rPr>
          <w:rFonts w:hint="eastAsia"/>
        </w:rPr>
        <w:t>10KV</w:t>
      </w:r>
      <w:r>
        <w:rPr>
          <w:rFonts w:hint="eastAsia"/>
        </w:rPr>
        <w:t>电气设备预防性试验</w:t>
      </w:r>
      <w:r w:rsidRPr="000E7EE0">
        <w:rPr>
          <w:rFonts w:hint="eastAsia"/>
        </w:rPr>
        <w:t>严格按照国家标准</w:t>
      </w:r>
      <w:r w:rsidRPr="000E7EE0">
        <w:rPr>
          <w:rFonts w:hint="eastAsia"/>
        </w:rPr>
        <w:t>GB50150-596-1996</w:t>
      </w:r>
      <w:r w:rsidRPr="000E7EE0">
        <w:rPr>
          <w:rFonts w:hint="eastAsia"/>
        </w:rPr>
        <w:t>《电气设备安装工程电气设备预防试验标准》及</w:t>
      </w:r>
      <w:r w:rsidRPr="000E7EE0">
        <w:rPr>
          <w:rFonts w:hint="eastAsia"/>
        </w:rPr>
        <w:t>DL/T 995-2016</w:t>
      </w:r>
      <w:r w:rsidRPr="000E7EE0">
        <w:rPr>
          <w:rFonts w:hint="eastAsia"/>
        </w:rPr>
        <w:t>《继电保护和电网安全自动装置检验规程》等国家、省、地区及行业有关标准</w:t>
      </w:r>
      <w:r w:rsidR="00C644C9">
        <w:rPr>
          <w:rFonts w:hint="eastAsia"/>
        </w:rPr>
        <w:t>（如标准有更新或者调整按照新标准执行）</w:t>
      </w:r>
      <w:r w:rsidRPr="000E7EE0">
        <w:rPr>
          <w:rFonts w:hint="eastAsia"/>
        </w:rPr>
        <w:t>，对石棉县人民医院</w:t>
      </w:r>
      <w:r w:rsidRPr="000E7EE0">
        <w:rPr>
          <w:rFonts w:hint="eastAsia"/>
        </w:rPr>
        <w:t>10KV</w:t>
      </w:r>
      <w:r w:rsidRPr="000E7EE0">
        <w:rPr>
          <w:rFonts w:hint="eastAsia"/>
        </w:rPr>
        <w:t>高压设备（含分院石棉县妇女儿童医院设备），进行电气设备预防性试验，试验完毕后按照试验结果分项出具真实的《电气设备预防性试验报告》，如有不合格设备，需要提出处理建议。具体内容如下：</w:t>
      </w:r>
    </w:p>
    <w:p w:rsidR="000E7EE0" w:rsidRPr="00B01410" w:rsidRDefault="000E7EE0" w:rsidP="000E7EE0">
      <w:pPr>
        <w:ind w:firstLineChars="202" w:firstLine="426"/>
        <w:rPr>
          <w:b/>
        </w:rPr>
      </w:pPr>
      <w:r w:rsidRPr="00B01410">
        <w:rPr>
          <w:rFonts w:hint="eastAsia"/>
          <w:b/>
        </w:rPr>
        <w:t>（一）试验地点</w:t>
      </w:r>
    </w:p>
    <w:p w:rsidR="000E7EE0" w:rsidRDefault="000E7EE0" w:rsidP="000E7EE0">
      <w:pPr>
        <w:ind w:firstLineChars="202" w:firstLine="424"/>
      </w:pPr>
      <w:r>
        <w:rPr>
          <w:rFonts w:hint="eastAsia"/>
        </w:rPr>
        <w:t>1.</w:t>
      </w:r>
      <w:r>
        <w:rPr>
          <w:rFonts w:hint="eastAsia"/>
        </w:rPr>
        <w:t>石棉县人民医院</w:t>
      </w:r>
    </w:p>
    <w:p w:rsidR="000E7EE0" w:rsidRDefault="000E7EE0" w:rsidP="000E7EE0">
      <w:pPr>
        <w:ind w:firstLineChars="202" w:firstLine="424"/>
      </w:pPr>
      <w:r>
        <w:rPr>
          <w:rFonts w:hint="eastAsia"/>
        </w:rPr>
        <w:t>2.</w:t>
      </w:r>
      <w:r>
        <w:rPr>
          <w:rFonts w:hint="eastAsia"/>
        </w:rPr>
        <w:t>石棉县妇女儿童医院</w:t>
      </w:r>
    </w:p>
    <w:p w:rsidR="000E7EE0" w:rsidRDefault="000E7EE0" w:rsidP="000E7EE0">
      <w:pPr>
        <w:ind w:firstLineChars="202" w:firstLine="424"/>
      </w:pPr>
      <w:r>
        <w:rPr>
          <w:rFonts w:hint="eastAsia"/>
        </w:rPr>
        <w:t>3.</w:t>
      </w:r>
      <w:r>
        <w:rPr>
          <w:rFonts w:hint="eastAsia"/>
        </w:rPr>
        <w:t>限价：</w:t>
      </w:r>
      <w:r>
        <w:rPr>
          <w:rFonts w:hint="eastAsia"/>
        </w:rPr>
        <w:t>16000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0E7EE0" w:rsidRPr="00B01410" w:rsidRDefault="000E7EE0" w:rsidP="000E7EE0">
      <w:pPr>
        <w:ind w:firstLineChars="202" w:firstLine="426"/>
        <w:rPr>
          <w:b/>
        </w:rPr>
      </w:pPr>
      <w:r w:rsidRPr="00B01410">
        <w:rPr>
          <w:rFonts w:hint="eastAsia"/>
          <w:b/>
        </w:rPr>
        <w:t>（</w:t>
      </w:r>
      <w:r>
        <w:rPr>
          <w:rFonts w:hint="eastAsia"/>
          <w:b/>
        </w:rPr>
        <w:t>二</w:t>
      </w:r>
      <w:r w:rsidRPr="00B01410">
        <w:rPr>
          <w:rFonts w:hint="eastAsia"/>
          <w:b/>
        </w:rPr>
        <w:t>）</w:t>
      </w:r>
      <w:r>
        <w:rPr>
          <w:rFonts w:hint="eastAsia"/>
          <w:b/>
        </w:rPr>
        <w:t>试验内容</w:t>
      </w:r>
      <w:r w:rsidR="00C644C9">
        <w:rPr>
          <w:rFonts w:hint="eastAsia"/>
          <w:b/>
        </w:rPr>
        <w:t>（包含但不限于以下内容）：</w:t>
      </w:r>
    </w:p>
    <w:p w:rsidR="000E7EE0" w:rsidRPr="00B01410" w:rsidRDefault="000E7EE0" w:rsidP="000E7EE0">
      <w:pPr>
        <w:ind w:firstLineChars="202" w:firstLine="424"/>
      </w:pPr>
      <w:r w:rsidRPr="00B01410">
        <w:rPr>
          <w:rFonts w:hint="eastAsia"/>
        </w:rPr>
        <w:t>1.</w:t>
      </w:r>
      <w:r w:rsidRPr="00B01410">
        <w:rPr>
          <w:rFonts w:hint="eastAsia"/>
        </w:rPr>
        <w:t>石棉县人民医院需要预防性试验清单</w:t>
      </w:r>
    </w:p>
    <w:tbl>
      <w:tblPr>
        <w:tblW w:w="5000" w:type="pct"/>
        <w:tblLayout w:type="fixed"/>
        <w:tblLook w:val="04A0"/>
      </w:tblPr>
      <w:tblGrid>
        <w:gridCol w:w="1102"/>
        <w:gridCol w:w="707"/>
        <w:gridCol w:w="1699"/>
        <w:gridCol w:w="1986"/>
        <w:gridCol w:w="2131"/>
        <w:gridCol w:w="897"/>
      </w:tblGrid>
      <w:tr w:rsidR="000E7EE0" w:rsidRPr="00BC55B1" w:rsidTr="006667EE">
        <w:trPr>
          <w:trHeight w:val="411"/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安装单元（位置）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出厂日期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户内高压真空断路器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ZN63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C55B1">
              <w:rPr>
                <w:color w:val="000000"/>
                <w:kern w:val="0"/>
                <w:sz w:val="18"/>
                <w:szCs w:val="18"/>
              </w:rPr>
              <w:t>VSI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#主变开关柜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一开电气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2011.06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VSI-12/630-31.5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向营路</w:t>
            </w:r>
            <w:r w:rsidRPr="00BC55B1">
              <w:rPr>
                <w:color w:val="000000"/>
                <w:kern w:val="0"/>
                <w:sz w:val="18"/>
                <w:szCs w:val="18"/>
              </w:rPr>
              <w:t>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#进线柜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成都特瑞电气有限公司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2015.07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VSI-12/630-31.5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母线联络柜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成都特瑞电气有限公司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2015.07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ZN63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C55B1">
              <w:rPr>
                <w:color w:val="000000"/>
                <w:kern w:val="0"/>
                <w:sz w:val="18"/>
                <w:szCs w:val="18"/>
              </w:rPr>
              <w:t>VSI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#主变开关柜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一开电气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2011.06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VSI-12/630-31.5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向营路</w:t>
            </w: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#进线柜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成都特瑞电气有限公司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2015.07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电压互感器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JDZ10-10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#电压互感器柜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上海精泰互感器厂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JDZ10-10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#电压互感器柜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上海精泰互感器厂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10Kv1#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主变开关柜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10Kv2#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主变开关柜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向营路</w:t>
            </w:r>
            <w:r w:rsidRPr="00BC55B1">
              <w:rPr>
                <w:color w:val="000000"/>
                <w:kern w:val="0"/>
                <w:sz w:val="18"/>
                <w:szCs w:val="18"/>
              </w:rPr>
              <w:t>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#进线柜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利营路</w:t>
            </w: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#进线柜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母线联络柜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避雷器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HY5WS-17/50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#主变开关柜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上海人民机电有限公司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HY5WS-17/50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#主变开关柜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上海人民机电有限公司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HY5WS-17/50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#电压互感器柜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上海人民机电有限公司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HY5WS-17/50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#电压互感器柜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上海人民机电有限公司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564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微机保护装置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YH2161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配电变压器保护测控装置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#主变开关柜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陕西银河网电科技有限公司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533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BC55B1">
              <w:rPr>
                <w:color w:val="000000"/>
                <w:kern w:val="0"/>
                <w:sz w:val="15"/>
                <w:szCs w:val="15"/>
              </w:rPr>
              <w:t>YH2161</w:t>
            </w:r>
            <w:r w:rsidRPr="00BC55B1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配电变压器保护测控装置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#主变开关柜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陕西银河网电科技有限公司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576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RJ800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系列微机保护装置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利营路</w:t>
            </w: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#进线柜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上海勃维智能科技有限公司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576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RJ800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系列微机保护装置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向营路</w:t>
            </w:r>
            <w:r w:rsidRPr="00BC55B1">
              <w:rPr>
                <w:color w:val="000000"/>
                <w:kern w:val="0"/>
                <w:sz w:val="18"/>
                <w:szCs w:val="18"/>
              </w:rPr>
              <w:t>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#进线柜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上海勃维智能科技有限公司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干式变压器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SGB10-1250/10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2#变压器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佛山市特变电气有限公司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2011.06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SGB10-1250/10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1#变压器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佛山市特变电气有限公司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2011.06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电力电缆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YJV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1B出线柜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YJV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2B出线柜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</w:tbl>
    <w:p w:rsidR="000E7EE0" w:rsidRPr="00BC55B1" w:rsidRDefault="000E7EE0" w:rsidP="000E7EE0">
      <w:pPr>
        <w:ind w:firstLineChars="202" w:firstLine="424"/>
        <w:rPr>
          <w:highlight w:val="yellow"/>
        </w:rPr>
      </w:pPr>
    </w:p>
    <w:p w:rsidR="000E7EE0" w:rsidRPr="00714C5F" w:rsidRDefault="000E7EE0" w:rsidP="000E7EE0">
      <w:pPr>
        <w:ind w:firstLineChars="202" w:firstLine="424"/>
        <w:rPr>
          <w:rFonts w:ascii="方正小标宋简体" w:eastAsia="方正小标宋简体"/>
          <w:sz w:val="32"/>
          <w:szCs w:val="32"/>
        </w:rPr>
      </w:pPr>
      <w:r>
        <w:rPr>
          <w:rFonts w:hint="eastAsia"/>
        </w:rPr>
        <w:t>2.</w:t>
      </w:r>
      <w:r w:rsidRPr="00B01410">
        <w:rPr>
          <w:rFonts w:hint="eastAsia"/>
        </w:rPr>
        <w:t>石棉县妇女儿童医院需要预防性试验清单</w:t>
      </w:r>
    </w:p>
    <w:tbl>
      <w:tblPr>
        <w:tblW w:w="5000" w:type="pct"/>
        <w:tblLook w:val="04A0"/>
      </w:tblPr>
      <w:tblGrid>
        <w:gridCol w:w="1243"/>
        <w:gridCol w:w="707"/>
        <w:gridCol w:w="1558"/>
        <w:gridCol w:w="1986"/>
        <w:gridCol w:w="2131"/>
        <w:gridCol w:w="897"/>
      </w:tblGrid>
      <w:tr w:rsidR="000E7EE0" w:rsidRPr="00BC55B1" w:rsidTr="006667EE">
        <w:trPr>
          <w:trHeight w:val="411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安装单元（位置）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BC55B1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出厂日期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干式变压器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BS11-M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10Kv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向中线保健站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变压器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中发电力变压器有限公司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C700C8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2012.05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S13M 1000/10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10Kv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向中线保健站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变压器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四川四变电器有限公司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C700C8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2017.06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户内高压真空断路器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TRSI-12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10Kv2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主变高压室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常熟市通润开关有限公司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C700C8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电压互感器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箱变高压柜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JDZ10-10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箱变高压柜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上海精泰互感器厂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5B1">
              <w:rPr>
                <w:color w:val="000000"/>
                <w:kern w:val="0"/>
                <w:sz w:val="18"/>
                <w:szCs w:val="18"/>
              </w:rPr>
              <w:t>10Kv</w:t>
            </w:r>
            <w:r w:rsidRPr="00BC55B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避雷器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HY5WS-17/50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箱变高压柜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上海人民机电有限公司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261BC2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2011.05</w:t>
            </w:r>
          </w:p>
        </w:tc>
      </w:tr>
      <w:tr w:rsidR="000E7EE0" w:rsidRPr="00BC55B1" w:rsidTr="006667EE">
        <w:trPr>
          <w:trHeight w:val="288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接地电阻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接地网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变压器处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E0" w:rsidRPr="00BC55B1" w:rsidRDefault="000E7EE0" w:rsidP="006667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不详</w:t>
            </w:r>
          </w:p>
        </w:tc>
      </w:tr>
    </w:tbl>
    <w:p w:rsidR="000E7EE0" w:rsidRPr="00B01410" w:rsidRDefault="000E7EE0" w:rsidP="000E7EE0">
      <w:pPr>
        <w:ind w:firstLineChars="202" w:firstLine="426"/>
        <w:rPr>
          <w:b/>
        </w:rPr>
      </w:pPr>
      <w:r w:rsidRPr="00B01410">
        <w:rPr>
          <w:rFonts w:hint="eastAsia"/>
          <w:b/>
        </w:rPr>
        <w:t>（</w:t>
      </w:r>
      <w:r>
        <w:rPr>
          <w:rFonts w:hint="eastAsia"/>
          <w:b/>
        </w:rPr>
        <w:t>三</w:t>
      </w:r>
      <w:r w:rsidRPr="00B01410">
        <w:rPr>
          <w:rFonts w:hint="eastAsia"/>
          <w:b/>
        </w:rPr>
        <w:t>）检验规程标准</w:t>
      </w:r>
    </w:p>
    <w:p w:rsidR="000E7EE0" w:rsidRDefault="000E7EE0" w:rsidP="000E7EE0">
      <w:pPr>
        <w:ind w:firstLineChars="202" w:firstLine="424"/>
      </w:pPr>
      <w:r w:rsidRPr="00B01410">
        <w:rPr>
          <w:rFonts w:hint="eastAsia"/>
        </w:rPr>
        <w:t>检测时需按</w:t>
      </w:r>
      <w:r w:rsidRPr="00B01410">
        <w:rPr>
          <w:rFonts w:hint="eastAsia"/>
        </w:rPr>
        <w:t>DL/T596-2016</w:t>
      </w:r>
      <w:r w:rsidRPr="00B01410">
        <w:rPr>
          <w:rFonts w:hint="eastAsia"/>
        </w:rPr>
        <w:t>《电力设备预防性试验规程》和</w:t>
      </w:r>
      <w:r w:rsidRPr="00B01410">
        <w:rPr>
          <w:rFonts w:hint="eastAsia"/>
        </w:rPr>
        <w:t>DL/T 995-2016</w:t>
      </w:r>
      <w:r w:rsidRPr="00B01410">
        <w:rPr>
          <w:rFonts w:hint="eastAsia"/>
        </w:rPr>
        <w:t>《继电保护和电网安全自动装置检验规程》要求进行</w:t>
      </w:r>
      <w:r w:rsidR="00C644C9">
        <w:rPr>
          <w:rFonts w:hint="eastAsia"/>
        </w:rPr>
        <w:t>（如标准有更新或者调整按照新标准执行）</w:t>
      </w:r>
      <w:r w:rsidRPr="00B01410">
        <w:rPr>
          <w:rFonts w:hint="eastAsia"/>
        </w:rPr>
        <w:t>。</w:t>
      </w:r>
    </w:p>
    <w:p w:rsidR="000E7EE0" w:rsidRPr="000E7EE0" w:rsidRDefault="000E7EE0" w:rsidP="000E7EE0">
      <w:pPr>
        <w:ind w:firstLineChars="202" w:firstLine="426"/>
        <w:rPr>
          <w:b/>
        </w:rPr>
      </w:pPr>
      <w:r w:rsidRPr="000E7EE0">
        <w:rPr>
          <w:rFonts w:hint="eastAsia"/>
          <w:b/>
        </w:rPr>
        <w:t>五、其他须知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（一）提供《预防性试验实施方案》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因高压电气预防性试验作为一种专业性强的特种服务，同时在试验时间会持续多日，期间还会出现多次停电来电等操作，医院作为</w:t>
      </w:r>
      <w:r w:rsidR="00B560C1">
        <w:rPr>
          <w:rFonts w:hint="eastAsia"/>
        </w:rPr>
        <w:t>特殊场所，关系到病人生命安全及大型医疗设备安全等安全生产问题。各潜在商在报价前</w:t>
      </w:r>
      <w:r>
        <w:rPr>
          <w:rFonts w:hint="eastAsia"/>
        </w:rPr>
        <w:t>，建议</w:t>
      </w:r>
      <w:r w:rsidR="00B560C1">
        <w:rPr>
          <w:rFonts w:hint="eastAsia"/>
        </w:rPr>
        <w:t>各意商</w:t>
      </w:r>
      <w:r>
        <w:rPr>
          <w:rFonts w:hint="eastAsia"/>
        </w:rPr>
        <w:t>应实地到场勘察（医院不统一组织），并尽量联系石棉县富源电力公司，与医院后勤外包公司（石棉县欣鼎劳务派遣公司）及医院管理部门（院办公室）、重点科室（手术室、供应室、血透室、放射科等科室）共同拟定《石棉县人民医院高压电气设备预防性试验实施方案》，明确试验期间的参与人员、各项细节及在试验中出现设备故障的应急处理办法，以确保万无一失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《预防性试验实施方案》应包含：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、预防性试验人员组织方案。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、具体实施的不同时间节点及具体内容等。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、应急处理措施。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、安全措施。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（二）报价构成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因在开展电气预防性试验时，需要石棉县富源电力公司及本院的后勤外包公司“石棉县欣鼎劳</w:t>
      </w:r>
      <w:r w:rsidR="00B560C1">
        <w:rPr>
          <w:rFonts w:hint="eastAsia"/>
        </w:rPr>
        <w:t>务派遣公司”派出人员协助，其上述两个公司派出人员的劳务费用由中选</w:t>
      </w:r>
      <w:r>
        <w:rPr>
          <w:rFonts w:hint="eastAsia"/>
        </w:rPr>
        <w:t>公司承担，</w:t>
      </w:r>
      <w:r>
        <w:rPr>
          <w:rFonts w:hint="eastAsia"/>
        </w:rPr>
        <w:lastRenderedPageBreak/>
        <w:t>费用自行协商。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报价为全包价，含与电气预防性试验相关的所有差旅费、人工劳务费、税费等所用费用。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电气预防性试验完毕并按时提供报告后，在</w:t>
      </w:r>
      <w:r>
        <w:rPr>
          <w:rFonts w:hint="eastAsia"/>
        </w:rPr>
        <w:t>15</w:t>
      </w:r>
      <w:r>
        <w:rPr>
          <w:rFonts w:hint="eastAsia"/>
        </w:rPr>
        <w:t>个工作日内支付当年费用。</w:t>
      </w:r>
    </w:p>
    <w:p w:rsidR="000E7EE0" w:rsidRPr="00292159" w:rsidRDefault="000E7EE0" w:rsidP="000E7EE0">
      <w:pPr>
        <w:ind w:leftChars="100" w:left="210" w:firstLineChars="100" w:firstLine="211"/>
        <w:rPr>
          <w:b/>
        </w:rPr>
      </w:pPr>
      <w:r>
        <w:rPr>
          <w:rFonts w:hint="eastAsia"/>
          <w:b/>
        </w:rPr>
        <w:t>（三）</w:t>
      </w:r>
      <w:r w:rsidRPr="00292159">
        <w:rPr>
          <w:rFonts w:hint="eastAsia"/>
          <w:b/>
        </w:rPr>
        <w:t>、安全责任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1.</w:t>
      </w:r>
      <w:r w:rsidRPr="00D60447">
        <w:rPr>
          <w:rFonts w:hint="eastAsia"/>
        </w:rPr>
        <w:t xml:space="preserve"> </w:t>
      </w:r>
      <w:r w:rsidRPr="00DC1CA9">
        <w:rPr>
          <w:rFonts w:hint="eastAsia"/>
        </w:rPr>
        <w:t>人身安全</w:t>
      </w:r>
    </w:p>
    <w:p w:rsidR="000E7EE0" w:rsidRDefault="000E7EE0" w:rsidP="000E7EE0">
      <w:pPr>
        <w:ind w:firstLineChars="200" w:firstLine="420"/>
      </w:pPr>
      <w:r w:rsidRPr="00DC1CA9">
        <w:rPr>
          <w:rFonts w:hint="eastAsia"/>
        </w:rPr>
        <w:t>项目实施前</w:t>
      </w:r>
      <w:r>
        <w:rPr>
          <w:rFonts w:hint="eastAsia"/>
        </w:rPr>
        <w:t>，应按照《预防性试验实施方案》，对实施人员购买相关安全类保险，进场前向医院提供实施人员《电工进网许可证》及保险证明，同意后方可实施</w:t>
      </w:r>
      <w:r w:rsidRPr="00DC1CA9">
        <w:rPr>
          <w:rFonts w:hint="eastAsia"/>
        </w:rPr>
        <w:t>。在项目试验过程中，</w:t>
      </w:r>
      <w:r w:rsidR="00B560C1">
        <w:rPr>
          <w:rFonts w:hint="eastAsia"/>
        </w:rPr>
        <w:t>中选方</w:t>
      </w:r>
      <w:r>
        <w:rPr>
          <w:rFonts w:hint="eastAsia"/>
        </w:rPr>
        <w:t>应</w:t>
      </w:r>
      <w:r w:rsidRPr="00DC1CA9">
        <w:rPr>
          <w:rFonts w:hint="eastAsia"/>
        </w:rPr>
        <w:t>严格按照安全标准组织测试，在试验期间如</w:t>
      </w:r>
      <w:r w:rsidR="00B560C1">
        <w:rPr>
          <w:rFonts w:hint="eastAsia"/>
        </w:rPr>
        <w:t>中选方</w:t>
      </w:r>
      <w:r w:rsidRPr="00DC1CA9">
        <w:rPr>
          <w:rFonts w:hint="eastAsia"/>
        </w:rPr>
        <w:t>发生</w:t>
      </w:r>
      <w:r>
        <w:rPr>
          <w:rFonts w:hint="eastAsia"/>
        </w:rPr>
        <w:t>任何与本次预防性试验所引起的</w:t>
      </w:r>
      <w:r w:rsidRPr="00DC1CA9">
        <w:rPr>
          <w:rFonts w:hint="eastAsia"/>
        </w:rPr>
        <w:t>人身安全事故，自行负责，与</w:t>
      </w:r>
      <w:r>
        <w:rPr>
          <w:rFonts w:hint="eastAsia"/>
        </w:rPr>
        <w:t>医院</w:t>
      </w:r>
      <w:r w:rsidRPr="00DC1CA9">
        <w:rPr>
          <w:rFonts w:hint="eastAsia"/>
        </w:rPr>
        <w:t>无关。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设备安全</w:t>
      </w:r>
    </w:p>
    <w:p w:rsidR="000E7EE0" w:rsidRDefault="000E7EE0" w:rsidP="000E7EE0">
      <w:pPr>
        <w:ind w:firstLineChars="200" w:firstLine="420"/>
        <w:rPr>
          <w:color w:val="FF0000"/>
        </w:rPr>
      </w:pPr>
      <w:r w:rsidRPr="00DC1CA9">
        <w:rPr>
          <w:rFonts w:hint="eastAsia"/>
        </w:rPr>
        <w:t>由于</w:t>
      </w:r>
      <w:r w:rsidR="00B560C1">
        <w:rPr>
          <w:rFonts w:hint="eastAsia"/>
        </w:rPr>
        <w:t>中选方</w:t>
      </w:r>
      <w:r w:rsidRPr="00DC1CA9">
        <w:rPr>
          <w:rFonts w:hint="eastAsia"/>
        </w:rPr>
        <w:t>未按照规程进行试验造成</w:t>
      </w:r>
      <w:r>
        <w:rPr>
          <w:rFonts w:hint="eastAsia"/>
        </w:rPr>
        <w:t>医院</w:t>
      </w:r>
      <w:r w:rsidRPr="00DC1CA9">
        <w:rPr>
          <w:rFonts w:hint="eastAsia"/>
        </w:rPr>
        <w:t>电气设备损坏，由</w:t>
      </w:r>
      <w:r w:rsidR="00B560C1">
        <w:rPr>
          <w:rFonts w:hint="eastAsia"/>
        </w:rPr>
        <w:t>中选方</w:t>
      </w:r>
      <w:r w:rsidRPr="00DC1CA9">
        <w:rPr>
          <w:rFonts w:hint="eastAsia"/>
        </w:rPr>
        <w:t>赔偿相应经济损失。</w:t>
      </w:r>
    </w:p>
    <w:p w:rsidR="000E7EE0" w:rsidRPr="00D759E8" w:rsidRDefault="000E7EE0" w:rsidP="000E7EE0">
      <w:pPr>
        <w:ind w:firstLineChars="200" w:firstLine="422"/>
        <w:rPr>
          <w:b/>
          <w:color w:val="FF0000"/>
        </w:rPr>
      </w:pPr>
      <w:r w:rsidRPr="00D759E8">
        <w:rPr>
          <w:rFonts w:hint="eastAsia"/>
          <w:b/>
        </w:rPr>
        <w:t>（四）工期要求</w:t>
      </w:r>
    </w:p>
    <w:p w:rsidR="000E7EE0" w:rsidRDefault="000E7EE0" w:rsidP="000E7EE0">
      <w:pPr>
        <w:ind w:firstLineChars="200" w:firstLine="420"/>
      </w:pPr>
      <w:r>
        <w:rPr>
          <w:rFonts w:hint="eastAsia"/>
        </w:rPr>
        <w:t>在签订合同后一周内，根据双方最终确定的《电气预防性试验方案》，</w:t>
      </w:r>
      <w:r w:rsidR="00B560C1">
        <w:rPr>
          <w:rFonts w:hint="eastAsia"/>
        </w:rPr>
        <w:t>由医院上报《停电申请》到石棉县电力公司并获批后</w:t>
      </w:r>
      <w:r>
        <w:rPr>
          <w:rFonts w:hint="eastAsia"/>
        </w:rPr>
        <w:t>（</w:t>
      </w:r>
      <w:r w:rsidR="00B560C1">
        <w:rPr>
          <w:rFonts w:hint="eastAsia"/>
        </w:rPr>
        <w:t>中选方</w:t>
      </w:r>
      <w:r>
        <w:rPr>
          <w:rFonts w:hint="eastAsia"/>
        </w:rPr>
        <w:t>协助）。按照方案时间节点进场开展工作</w:t>
      </w:r>
      <w:r w:rsidRPr="00DC1CA9">
        <w:rPr>
          <w:rFonts w:hint="eastAsia"/>
        </w:rPr>
        <w:t>，</w:t>
      </w:r>
      <w:r>
        <w:rPr>
          <w:rFonts w:hint="eastAsia"/>
        </w:rPr>
        <w:t>预防性试验结束后的</w:t>
      </w:r>
      <w:r w:rsidRPr="00DC1CA9">
        <w:rPr>
          <w:rFonts w:hint="eastAsia"/>
        </w:rPr>
        <w:t>十五日内完成试验并提交试验报告</w:t>
      </w:r>
      <w:r w:rsidR="00CE4F7E">
        <w:rPr>
          <w:rFonts w:hint="eastAsia"/>
        </w:rPr>
        <w:t>。</w:t>
      </w:r>
    </w:p>
    <w:p w:rsidR="00BB3A24" w:rsidRPr="00B560C1" w:rsidRDefault="00BB3A24" w:rsidP="00B560C1">
      <w:pPr>
        <w:ind w:firstLineChars="200" w:firstLine="420"/>
      </w:pPr>
      <w:r w:rsidRPr="00B560C1">
        <w:rPr>
          <w:rFonts w:hint="eastAsia"/>
        </w:rPr>
        <w:t>请潜在商于本公告发布后</w:t>
      </w:r>
      <w:r w:rsidRPr="00B560C1">
        <w:rPr>
          <w:rFonts w:hint="eastAsia"/>
        </w:rPr>
        <w:t>5</w:t>
      </w:r>
      <w:r w:rsidRPr="00B560C1">
        <w:rPr>
          <w:rFonts w:hint="eastAsia"/>
        </w:rPr>
        <w:t>个工作日（</w:t>
      </w:r>
      <w:r w:rsidR="00CE4F7E" w:rsidRPr="00B560C1">
        <w:rPr>
          <w:rFonts w:hint="eastAsia"/>
        </w:rPr>
        <w:t>3</w:t>
      </w:r>
      <w:r w:rsidR="00E614AF" w:rsidRPr="00B560C1">
        <w:rPr>
          <w:rFonts w:hint="eastAsia"/>
        </w:rPr>
        <w:t>月</w:t>
      </w:r>
      <w:r w:rsidR="00CE4F7E" w:rsidRPr="00B560C1">
        <w:rPr>
          <w:rFonts w:hint="eastAsia"/>
        </w:rPr>
        <w:t>30</w:t>
      </w:r>
      <w:r w:rsidRPr="00B560C1">
        <w:rPr>
          <w:rFonts w:hint="eastAsia"/>
        </w:rPr>
        <w:t>日）</w:t>
      </w:r>
      <w:r w:rsidR="00060105" w:rsidRPr="00B560C1">
        <w:rPr>
          <w:rFonts w:hint="eastAsia"/>
        </w:rPr>
        <w:t>内</w:t>
      </w:r>
      <w:r w:rsidRPr="00B560C1">
        <w:rPr>
          <w:rFonts w:hint="eastAsia"/>
        </w:rPr>
        <w:t>将报价表报</w:t>
      </w:r>
      <w:r w:rsidR="00060105" w:rsidRPr="00B560C1">
        <w:rPr>
          <w:rFonts w:hint="eastAsia"/>
        </w:rPr>
        <w:t>送</w:t>
      </w:r>
      <w:r w:rsidRPr="00B560C1">
        <w:rPr>
          <w:rFonts w:hint="eastAsia"/>
        </w:rPr>
        <w:t>至院办王丽处，联系电话：</w:t>
      </w:r>
      <w:r w:rsidRPr="00B560C1">
        <w:rPr>
          <w:rFonts w:hint="eastAsia"/>
        </w:rPr>
        <w:t>0838-8862422</w:t>
      </w:r>
      <w:r w:rsidR="00060105" w:rsidRPr="00B560C1">
        <w:rPr>
          <w:rFonts w:hint="eastAsia"/>
        </w:rPr>
        <w:t>。</w:t>
      </w:r>
    </w:p>
    <w:p w:rsidR="00BB3A24" w:rsidRPr="00B560C1" w:rsidRDefault="00BB3A24" w:rsidP="00B560C1">
      <w:pPr>
        <w:ind w:firstLineChars="200" w:firstLine="420"/>
      </w:pPr>
    </w:p>
    <w:p w:rsidR="00C45489" w:rsidRPr="00CE4F7E" w:rsidRDefault="00C45489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B3A24" w:rsidRPr="00B560C1" w:rsidRDefault="00BB3A24" w:rsidP="00B560C1">
      <w:pPr>
        <w:ind w:firstLineChars="200" w:firstLine="420"/>
        <w:jc w:val="right"/>
      </w:pPr>
      <w:r w:rsidRPr="00B560C1">
        <w:rPr>
          <w:rFonts w:hint="eastAsia"/>
        </w:rPr>
        <w:t>石棉县人民医院</w:t>
      </w:r>
      <w:r w:rsidR="00CE4F7E" w:rsidRPr="00B560C1">
        <w:rPr>
          <w:rFonts w:hint="eastAsia"/>
        </w:rPr>
        <w:t>院办</w:t>
      </w:r>
    </w:p>
    <w:p w:rsidR="00BB3A24" w:rsidRPr="00B560C1" w:rsidRDefault="00B560C1" w:rsidP="00B560C1">
      <w:pPr>
        <w:ind w:firstLineChars="200" w:firstLine="420"/>
        <w:jc w:val="right"/>
      </w:pPr>
      <w:r>
        <w:rPr>
          <w:rFonts w:hint="eastAsia"/>
        </w:rPr>
        <w:t>2023</w:t>
      </w:r>
      <w:r w:rsidR="00BB3A24" w:rsidRPr="00B560C1">
        <w:rPr>
          <w:rFonts w:hint="eastAsia"/>
        </w:rPr>
        <w:t>年</w:t>
      </w:r>
      <w:r w:rsidR="00CE4F7E" w:rsidRPr="00B560C1">
        <w:rPr>
          <w:rFonts w:hint="eastAsia"/>
        </w:rPr>
        <w:t>3</w:t>
      </w:r>
      <w:r w:rsidR="00BB3A24" w:rsidRPr="00B560C1">
        <w:rPr>
          <w:rFonts w:hint="eastAsia"/>
        </w:rPr>
        <w:t>月</w:t>
      </w:r>
      <w:r w:rsidR="00C644C9">
        <w:rPr>
          <w:rFonts w:hint="eastAsia"/>
        </w:rPr>
        <w:t>24</w:t>
      </w:r>
      <w:r w:rsidR="00BB3A24" w:rsidRPr="00B560C1">
        <w:rPr>
          <w:rFonts w:hint="eastAsia"/>
        </w:rPr>
        <w:t>日</w:t>
      </w:r>
    </w:p>
    <w:sectPr w:rsidR="00BB3A24" w:rsidRPr="00B560C1" w:rsidSect="00C4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10" w:rsidRDefault="00471510" w:rsidP="00BB3A24">
      <w:r>
        <w:separator/>
      </w:r>
    </w:p>
  </w:endnote>
  <w:endnote w:type="continuationSeparator" w:id="1">
    <w:p w:rsidR="00471510" w:rsidRDefault="00471510" w:rsidP="00BB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10" w:rsidRDefault="00471510" w:rsidP="00BB3A24">
      <w:r>
        <w:separator/>
      </w:r>
    </w:p>
  </w:footnote>
  <w:footnote w:type="continuationSeparator" w:id="1">
    <w:p w:rsidR="00471510" w:rsidRDefault="00471510" w:rsidP="00BB3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A24"/>
    <w:rsid w:val="00060105"/>
    <w:rsid w:val="000E7EE0"/>
    <w:rsid w:val="00471510"/>
    <w:rsid w:val="0078299F"/>
    <w:rsid w:val="00AB6C8E"/>
    <w:rsid w:val="00B560C1"/>
    <w:rsid w:val="00BB3A24"/>
    <w:rsid w:val="00C45489"/>
    <w:rsid w:val="00C644C9"/>
    <w:rsid w:val="00C94447"/>
    <w:rsid w:val="00CE4F7E"/>
    <w:rsid w:val="00D872DE"/>
    <w:rsid w:val="00E0640C"/>
    <w:rsid w:val="00E24F3C"/>
    <w:rsid w:val="00E614AF"/>
    <w:rsid w:val="00F72BEF"/>
    <w:rsid w:val="00F8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2021-11-10T01:27:00Z</dcterms:created>
  <dcterms:modified xsi:type="dcterms:W3CDTF">2023-03-24T01:46:00Z</dcterms:modified>
</cp:coreProperties>
</file>